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452" w:type="dxa"/>
        <w:tblInd w:w="-318" w:type="dxa"/>
        <w:tblLayout w:type="fixed"/>
        <w:tblLook w:val="04A0"/>
      </w:tblPr>
      <w:tblGrid>
        <w:gridCol w:w="993"/>
        <w:gridCol w:w="6237"/>
        <w:gridCol w:w="8222"/>
      </w:tblGrid>
      <w:tr w:rsidR="00DB15F3" w:rsidTr="00744A93">
        <w:trPr>
          <w:trHeight w:val="556"/>
        </w:trPr>
        <w:tc>
          <w:tcPr>
            <w:tcW w:w="993" w:type="dxa"/>
          </w:tcPr>
          <w:p w:rsidR="00D36FC8" w:rsidRPr="00DB15F3" w:rsidRDefault="00D36FC8">
            <w:pPr>
              <w:rPr>
                <w:sz w:val="18"/>
                <w:szCs w:val="18"/>
              </w:rPr>
            </w:pPr>
          </w:p>
        </w:tc>
        <w:tc>
          <w:tcPr>
            <w:tcW w:w="6237" w:type="dxa"/>
          </w:tcPr>
          <w:p w:rsidR="00D36FC8" w:rsidRPr="00EB630B" w:rsidRDefault="00D36FC8" w:rsidP="0027704D">
            <w:pPr>
              <w:jc w:val="center"/>
              <w:rPr>
                <w:b/>
                <w:sz w:val="24"/>
              </w:rPr>
            </w:pPr>
            <w:r w:rsidRPr="00EB630B">
              <w:rPr>
                <w:b/>
                <w:sz w:val="24"/>
              </w:rPr>
              <w:t>Физические лица</w:t>
            </w:r>
          </w:p>
        </w:tc>
        <w:tc>
          <w:tcPr>
            <w:tcW w:w="8222" w:type="dxa"/>
          </w:tcPr>
          <w:p w:rsidR="00D36FC8" w:rsidRPr="00EB630B" w:rsidRDefault="00D36FC8" w:rsidP="0027704D">
            <w:pPr>
              <w:jc w:val="center"/>
              <w:rPr>
                <w:b/>
                <w:sz w:val="24"/>
              </w:rPr>
            </w:pPr>
            <w:r w:rsidRPr="00EB630B">
              <w:rPr>
                <w:b/>
                <w:sz w:val="24"/>
              </w:rPr>
              <w:t>Юридические лица</w:t>
            </w:r>
          </w:p>
        </w:tc>
      </w:tr>
      <w:tr w:rsidR="00744A93" w:rsidTr="00744A93">
        <w:trPr>
          <w:trHeight w:val="556"/>
        </w:trPr>
        <w:tc>
          <w:tcPr>
            <w:tcW w:w="993" w:type="dxa"/>
          </w:tcPr>
          <w:p w:rsidR="00744A93" w:rsidRPr="00DB15F3" w:rsidRDefault="00744A93">
            <w:pPr>
              <w:rPr>
                <w:sz w:val="18"/>
                <w:szCs w:val="18"/>
              </w:rPr>
            </w:pPr>
            <w:r>
              <w:rPr>
                <w:sz w:val="18"/>
                <w:szCs w:val="18"/>
              </w:rPr>
              <w:t>№ дела</w:t>
            </w:r>
          </w:p>
        </w:tc>
        <w:tc>
          <w:tcPr>
            <w:tcW w:w="6237" w:type="dxa"/>
          </w:tcPr>
          <w:p w:rsidR="00744A93" w:rsidRPr="00EB630B" w:rsidRDefault="00EB630B">
            <w:r w:rsidRPr="00EB630B">
              <w:t xml:space="preserve">№ </w:t>
            </w:r>
            <w:r w:rsidR="00744A93" w:rsidRPr="00EB630B">
              <w:t>А40-225890/23-104-1634</w:t>
            </w:r>
          </w:p>
          <w:p w:rsidR="00EB630B" w:rsidRDefault="00EB630B">
            <w:r w:rsidRPr="00EB630B">
              <w:t>№ А81-13107/2023</w:t>
            </w:r>
          </w:p>
          <w:p w:rsidR="00EB630B" w:rsidRDefault="00EB630B">
            <w:r>
              <w:t>№ А32-63981/2023</w:t>
            </w:r>
          </w:p>
          <w:p w:rsidR="00EB630B" w:rsidRDefault="00EB630B">
            <w:pPr>
              <w:rPr>
                <w:rFonts w:ascii="Arial" w:hAnsi="Arial" w:cs="Arial"/>
                <w:sz w:val="18"/>
                <w:bdr w:val="none" w:sz="0" w:space="0" w:color="auto" w:frame="1"/>
                <w:shd w:val="clear" w:color="auto" w:fill="F0F0F6"/>
              </w:rPr>
            </w:pPr>
            <w:r>
              <w:t xml:space="preserve">№ </w:t>
            </w:r>
            <w:r w:rsidRPr="00EB630B">
              <w:rPr>
                <w:rFonts w:ascii="Arial" w:hAnsi="Arial" w:cs="Arial"/>
                <w:sz w:val="18"/>
                <w:bdr w:val="none" w:sz="0" w:space="0" w:color="auto" w:frame="1"/>
                <w:shd w:val="clear" w:color="auto" w:fill="F0F0F6"/>
              </w:rPr>
              <w:t>А40-225890/2023</w:t>
            </w:r>
          </w:p>
          <w:p w:rsidR="00EB630B" w:rsidRDefault="00EB630B">
            <w:r>
              <w:t>№ А39-7060/2023</w:t>
            </w:r>
          </w:p>
          <w:p w:rsidR="00EB630B" w:rsidRDefault="00EB630B">
            <w:r>
              <w:t>№ А39-7059/2023</w:t>
            </w:r>
          </w:p>
          <w:p w:rsidR="00EB630B" w:rsidRDefault="00EB630B">
            <w:r>
              <w:t>№ А40-164944/23-62-1374</w:t>
            </w:r>
          </w:p>
          <w:p w:rsidR="00EB630B" w:rsidRPr="00EB630B" w:rsidRDefault="00EB630B">
            <w:r>
              <w:t>№ А40-126338/23-189-1044</w:t>
            </w:r>
          </w:p>
        </w:tc>
        <w:tc>
          <w:tcPr>
            <w:tcW w:w="8222" w:type="dxa"/>
          </w:tcPr>
          <w:p w:rsidR="00744A93" w:rsidRPr="00EB630B" w:rsidRDefault="00744A93" w:rsidP="0027704D">
            <w:r w:rsidRPr="00EB630B">
              <w:t>№ А40-173472/23-117-1155</w:t>
            </w:r>
          </w:p>
          <w:p w:rsidR="00744A93" w:rsidRPr="00EB630B" w:rsidRDefault="00744A93" w:rsidP="00744A93">
            <w:r w:rsidRPr="00EB630B">
              <w:t>№ А70-21667/2023</w:t>
            </w:r>
          </w:p>
          <w:p w:rsidR="00744A93" w:rsidRPr="00EB630B" w:rsidRDefault="00744A93" w:rsidP="00744A93">
            <w:r w:rsidRPr="00EB630B">
              <w:t>№ А40-240947/23-117-1718</w:t>
            </w:r>
          </w:p>
          <w:p w:rsidR="00744A93" w:rsidRPr="00EB630B" w:rsidRDefault="00744A93" w:rsidP="00744A93">
            <w:r w:rsidRPr="00EB630B">
              <w:t>№ А40-261654/23-100-1921</w:t>
            </w:r>
          </w:p>
          <w:p w:rsidR="00744A93" w:rsidRPr="00EB630B" w:rsidRDefault="00744A93">
            <w:r w:rsidRPr="00EB630B">
              <w:t>№ А56-110325/2023</w:t>
            </w:r>
          </w:p>
        </w:tc>
      </w:tr>
      <w:tr w:rsidR="00744A93" w:rsidTr="00744A93">
        <w:trPr>
          <w:trHeight w:val="556"/>
        </w:trPr>
        <w:tc>
          <w:tcPr>
            <w:tcW w:w="993" w:type="dxa"/>
          </w:tcPr>
          <w:p w:rsidR="00744A93" w:rsidRPr="00DB15F3" w:rsidRDefault="00744A93">
            <w:pPr>
              <w:rPr>
                <w:sz w:val="18"/>
                <w:szCs w:val="18"/>
              </w:rPr>
            </w:pPr>
            <w:r>
              <w:rPr>
                <w:sz w:val="18"/>
                <w:szCs w:val="18"/>
              </w:rPr>
              <w:t>Истец</w:t>
            </w:r>
          </w:p>
        </w:tc>
        <w:tc>
          <w:tcPr>
            <w:tcW w:w="6237" w:type="dxa"/>
          </w:tcPr>
          <w:p w:rsidR="00744A93" w:rsidRPr="00DB15F3" w:rsidRDefault="00744A93">
            <w:pPr>
              <w:rPr>
                <w:sz w:val="18"/>
                <w:szCs w:val="18"/>
              </w:rPr>
            </w:pPr>
            <w:r>
              <w:t xml:space="preserve"> Отсутствие нормы закона, позволяющей при указанных обстоятельствах, произвести в одностороннем порядке исключение из реестра владельцев именных ценных бумаг, явилось основаниям для обращения с настоящим иском в суд.</w:t>
            </w:r>
          </w:p>
        </w:tc>
        <w:tc>
          <w:tcPr>
            <w:tcW w:w="8222" w:type="dxa"/>
          </w:tcPr>
          <w:p w:rsidR="00744A93" w:rsidRPr="00EB630B" w:rsidRDefault="00744A93">
            <w:r>
              <w:t xml:space="preserve"> В соответствии со ст. 4 АПК РФ, заинтересованное лицо вправе обратиться в арбитражный суд за защитой своих нарушенных или оспариваемых прав и законных интересов. Указанные положения процессуального законодательства предусматривают, что предъявление требований в суд должно быть направлено на защиту нарушенных прав обратившегося в суд лица, что влечет возникновение у обратившегося лица обязанности доказать наличие нарушенных прав лицом, к которому предъявлены требования.</w:t>
            </w:r>
          </w:p>
          <w:p w:rsidR="00744A93" w:rsidRPr="00EB630B" w:rsidRDefault="00744A93">
            <w:pPr>
              <w:rPr>
                <w:sz w:val="18"/>
                <w:szCs w:val="18"/>
              </w:rPr>
            </w:pPr>
          </w:p>
        </w:tc>
      </w:tr>
      <w:tr w:rsidR="00744A93" w:rsidTr="00744A93">
        <w:trPr>
          <w:trHeight w:val="556"/>
        </w:trPr>
        <w:tc>
          <w:tcPr>
            <w:tcW w:w="993" w:type="dxa"/>
          </w:tcPr>
          <w:p w:rsidR="00744A93" w:rsidRPr="00DB15F3" w:rsidRDefault="00744A93" w:rsidP="0085404B">
            <w:pPr>
              <w:rPr>
                <w:sz w:val="18"/>
                <w:szCs w:val="18"/>
              </w:rPr>
            </w:pPr>
            <w:r w:rsidRPr="00DB15F3">
              <w:rPr>
                <w:sz w:val="18"/>
                <w:szCs w:val="18"/>
              </w:rPr>
              <w:t>Ответчик</w:t>
            </w:r>
          </w:p>
        </w:tc>
        <w:tc>
          <w:tcPr>
            <w:tcW w:w="6237" w:type="dxa"/>
          </w:tcPr>
          <w:p w:rsidR="00744A93" w:rsidRDefault="00744A93" w:rsidP="0085404B">
            <w:pPr>
              <w:rPr>
                <w:sz w:val="18"/>
                <w:szCs w:val="18"/>
              </w:rPr>
            </w:pPr>
            <w:r>
              <w:rPr>
                <w:sz w:val="18"/>
                <w:szCs w:val="18"/>
              </w:rPr>
              <w:t>АО «Новый регистратор»</w:t>
            </w:r>
          </w:p>
          <w:p w:rsidR="00744A93" w:rsidRDefault="00744A93" w:rsidP="0085404B">
            <w:pPr>
              <w:rPr>
                <w:sz w:val="18"/>
                <w:szCs w:val="18"/>
              </w:rPr>
            </w:pPr>
          </w:p>
          <w:p w:rsidR="00744A93" w:rsidRPr="00744A93" w:rsidRDefault="00744A93" w:rsidP="0085404B">
            <w:pPr>
              <w:rPr>
                <w:sz w:val="18"/>
                <w:szCs w:val="18"/>
              </w:rPr>
            </w:pPr>
            <w:r>
              <w:t>Вместе с тем, как указано в п. 19 постановления Пленума от 21.01.2016 № 1 не подлежат распределению между лицами, участвующими в деле, издержки, понесенные в связи с рассмотрением требований, удовлетворение которых не обусловлено установлением фактов нарушения или оспаривания прав истца ответчиком, административным ответчиком. Вместе с тем, ответчик по настоящему спору не является стороной, нарушившим права истца; предъявленные требования к ответчику обусловлены конструкцией искового заявления, в связи с чем, расходы по оплате госпошлины относятся на истца.</w:t>
            </w:r>
          </w:p>
        </w:tc>
        <w:tc>
          <w:tcPr>
            <w:tcW w:w="8222" w:type="dxa"/>
          </w:tcPr>
          <w:p w:rsidR="00744A93" w:rsidRDefault="00744A93" w:rsidP="0085404B">
            <w:pPr>
              <w:rPr>
                <w:sz w:val="18"/>
                <w:szCs w:val="18"/>
              </w:rPr>
            </w:pPr>
            <w:r>
              <w:rPr>
                <w:sz w:val="18"/>
                <w:szCs w:val="18"/>
              </w:rPr>
              <w:t>АО «Новый регистратор»</w:t>
            </w:r>
          </w:p>
          <w:p w:rsidR="00744A93" w:rsidRDefault="00744A93" w:rsidP="0085404B">
            <w:pPr>
              <w:rPr>
                <w:sz w:val="18"/>
                <w:szCs w:val="18"/>
              </w:rPr>
            </w:pPr>
          </w:p>
          <w:p w:rsidR="00744A93" w:rsidRPr="00DB15F3" w:rsidRDefault="00744A93" w:rsidP="0085404B">
            <w:pPr>
              <w:rPr>
                <w:sz w:val="18"/>
                <w:szCs w:val="18"/>
              </w:rPr>
            </w:pPr>
            <w:r>
              <w:t xml:space="preserve">АО "НОВЫЙ РЕГИСТРАТОР" является профессиональным участником рынка ценных бумаг и осуществляет деятельность по ведению реестра владельцев именных ценных бумаг в соответствии со ст. 8 Федерального закона «О рынке ценных бумаг» от 22.04.1996г. № 39-ФЗ (далее - Закон о рынке ценных бумаг). В соответствии с </w:t>
            </w:r>
            <w:proofErr w:type="spellStart"/>
            <w:r>
              <w:t>абз</w:t>
            </w:r>
            <w:proofErr w:type="spellEnd"/>
            <w:r>
              <w:t xml:space="preserve">. 1 п. 1 ст. 8 Закона о рынке ценных бумаг деятельностью по ведению реестра владельцев именных ценных бумаг признаются сбор, фиксация, обработка, хранение данных, составляющих реестр владельцев ценных бумаг, и предоставление информации из реестра владельцев ценных бумаг. </w:t>
            </w:r>
            <w:proofErr w:type="gramStart"/>
            <w:r>
              <w:t xml:space="preserve">В соответствии с </w:t>
            </w:r>
            <w:proofErr w:type="spellStart"/>
            <w:r>
              <w:t>абз</w:t>
            </w:r>
            <w:proofErr w:type="spellEnd"/>
            <w:r>
              <w:t>. 5 п. 1 ст. 8 Закона о рынке ценных бумаг реестр владельцев ценных бумаг (далее также - реестр) - формируемая на определенный момент времени система записей о лицах, которым открыты лицевые счета (далее - зарегистрированные лица), записей о ценных бумагах, учитываемых на указанных счетах, записей об обременении ценных бумаг и иных записей в соответствии с законодательством Российской Федерации.</w:t>
            </w:r>
            <w:proofErr w:type="gramEnd"/>
            <w:r>
              <w:t xml:space="preserve"> Согласно </w:t>
            </w:r>
            <w:proofErr w:type="spellStart"/>
            <w:r>
              <w:t>абз</w:t>
            </w:r>
            <w:proofErr w:type="spellEnd"/>
            <w:r>
              <w:t xml:space="preserve">. 4 п. 1 ст. 8 Закона о рынке ценных бумаг регистратор не вправе совершать сделки с ценными бумагами эмитента, реестр </w:t>
            </w:r>
            <w:r>
              <w:lastRenderedPageBreak/>
              <w:t>владельцев которых он ведет. Таким образом, АО "НОВЫЙ РЕГИСТРАТОР" осуществляет исключительно учетные функции в отношении акций заявителя и не является собственником этих акций. АО "НОВЫЙ РЕГИСТРАТОР" не имеет самостоятельного материальноправового интереса относительно требований истца.</w:t>
            </w:r>
          </w:p>
        </w:tc>
      </w:tr>
      <w:tr w:rsidR="00744A93" w:rsidTr="00744A93">
        <w:trPr>
          <w:trHeight w:val="556"/>
        </w:trPr>
        <w:tc>
          <w:tcPr>
            <w:tcW w:w="993" w:type="dxa"/>
          </w:tcPr>
          <w:p w:rsidR="00744A93" w:rsidRPr="00DB15F3" w:rsidRDefault="00744A93">
            <w:pPr>
              <w:rPr>
                <w:sz w:val="18"/>
                <w:szCs w:val="18"/>
              </w:rPr>
            </w:pPr>
            <w:r w:rsidRPr="00DB15F3">
              <w:rPr>
                <w:sz w:val="18"/>
                <w:szCs w:val="18"/>
              </w:rPr>
              <w:lastRenderedPageBreak/>
              <w:t>Предмет иска</w:t>
            </w:r>
          </w:p>
        </w:tc>
        <w:tc>
          <w:tcPr>
            <w:tcW w:w="6237" w:type="dxa"/>
          </w:tcPr>
          <w:p w:rsidR="00744A93" w:rsidRDefault="00744A93">
            <w:pPr>
              <w:rPr>
                <w:sz w:val="18"/>
                <w:szCs w:val="18"/>
              </w:rPr>
            </w:pPr>
            <w:r>
              <w:rPr>
                <w:sz w:val="18"/>
                <w:szCs w:val="18"/>
              </w:rPr>
              <w:t>Бесхозяйные акции</w:t>
            </w:r>
          </w:p>
          <w:p w:rsidR="00744A93" w:rsidRPr="00744A93" w:rsidRDefault="00744A93">
            <w:r>
              <w:t>Являются бесхозяйным имуществом, в силу ст. 225 ГК РФ, не имеющими собственников.</w:t>
            </w:r>
          </w:p>
          <w:p w:rsidR="00744A93" w:rsidRPr="00744A93" w:rsidRDefault="00744A93">
            <w:pPr>
              <w:rPr>
                <w:sz w:val="18"/>
                <w:szCs w:val="18"/>
              </w:rPr>
            </w:pPr>
          </w:p>
        </w:tc>
        <w:tc>
          <w:tcPr>
            <w:tcW w:w="8222" w:type="dxa"/>
          </w:tcPr>
          <w:p w:rsidR="00744A93" w:rsidRDefault="00744A93">
            <w:pPr>
              <w:rPr>
                <w:sz w:val="18"/>
                <w:szCs w:val="18"/>
              </w:rPr>
            </w:pPr>
            <w:r>
              <w:rPr>
                <w:sz w:val="18"/>
                <w:szCs w:val="18"/>
              </w:rPr>
              <w:t>Бесхозяйные акции</w:t>
            </w:r>
          </w:p>
          <w:p w:rsidR="00744A93" w:rsidRPr="00744A93" w:rsidRDefault="00744A93" w:rsidP="00744A93">
            <w:r>
              <w:t>Являются бесхозяйным имуществом, в силу ст. 225 ГК РФ, не имеющими собственников.</w:t>
            </w:r>
          </w:p>
          <w:p w:rsidR="00744A93" w:rsidRPr="00DB15F3" w:rsidRDefault="00744A93">
            <w:pPr>
              <w:rPr>
                <w:sz w:val="18"/>
                <w:szCs w:val="18"/>
              </w:rPr>
            </w:pPr>
          </w:p>
        </w:tc>
      </w:tr>
      <w:tr w:rsidR="00C201DA" w:rsidTr="00744A93">
        <w:trPr>
          <w:trHeight w:val="556"/>
        </w:trPr>
        <w:tc>
          <w:tcPr>
            <w:tcW w:w="993" w:type="dxa"/>
          </w:tcPr>
          <w:p w:rsidR="00C201DA" w:rsidRPr="00DB15F3" w:rsidRDefault="00C201DA">
            <w:pPr>
              <w:rPr>
                <w:sz w:val="18"/>
                <w:szCs w:val="18"/>
              </w:rPr>
            </w:pPr>
            <w:r w:rsidRPr="00DB15F3">
              <w:rPr>
                <w:sz w:val="18"/>
                <w:szCs w:val="18"/>
              </w:rPr>
              <w:t>Система доказательств</w:t>
            </w:r>
          </w:p>
        </w:tc>
        <w:tc>
          <w:tcPr>
            <w:tcW w:w="6237" w:type="dxa"/>
          </w:tcPr>
          <w:p w:rsidR="00C201DA" w:rsidRDefault="00C201DA">
            <w:pPr>
              <w:rPr>
                <w:sz w:val="20"/>
              </w:rPr>
            </w:pPr>
            <w:r>
              <w:rPr>
                <w:sz w:val="20"/>
              </w:rPr>
              <w:t>1)</w:t>
            </w:r>
            <w:r w:rsidRPr="00DB15F3">
              <w:rPr>
                <w:sz w:val="20"/>
              </w:rPr>
              <w:t>Лица не принимали участия в общих собраниях акционеров АО «КУРОРТПРОЕКТ» на протяжении последних девяти лет</w:t>
            </w:r>
          </w:p>
          <w:p w:rsidR="00C201DA" w:rsidRDefault="00C201DA" w:rsidP="00092D0F">
            <w:r>
              <w:rPr>
                <w:sz w:val="20"/>
              </w:rPr>
              <w:t>2)</w:t>
            </w:r>
            <w:r>
              <w:t xml:space="preserve"> не проявляли какимлибо иным образом интереса к реализации прав акционера</w:t>
            </w:r>
          </w:p>
          <w:p w:rsidR="00C201DA" w:rsidRDefault="00C201DA" w:rsidP="00092D0F">
            <w:r>
              <w:t>3) В течени</w:t>
            </w:r>
            <w:proofErr w:type="gramStart"/>
            <w:r>
              <w:t>и</w:t>
            </w:r>
            <w:proofErr w:type="gramEnd"/>
            <w:r>
              <w:t xml:space="preserve"> последних девяти лет, вышеперечисленные акционеры (и/или их наследники) не проявляли интереса к делам Общества, не принимали никакого участия в хозяйственной деятельности общества, не участвовали в общих собраниях акционеров общества. Вся корреспонденция, уведомления, направляемые указанным акционерам, возвращаются в адрес общества как невостребованные. Указанные лица не предоставляли </w:t>
            </w:r>
            <w:proofErr w:type="spellStart"/>
            <w:r>
              <w:t>реестродержателю</w:t>
            </w:r>
            <w:proofErr w:type="spellEnd"/>
            <w:r>
              <w:t xml:space="preserve"> информацию об изменении своих данных (в реестре акционеров данные паспортов СССР), что также не позволяет Обществу провести реорганизацию.</w:t>
            </w:r>
          </w:p>
          <w:p w:rsidR="00C201DA" w:rsidRDefault="00C201DA" w:rsidP="00092D0F">
            <w:r>
              <w:t>4) В соответствии с действующим законодательством об АО предусматривается ряд случаев, при которых Обществу требуется согласие всех без исключения акционеров, а не только принимавших участие в собрании. Акционеры, игнорирующие проведение собраний АО и не принимающие участие в собраниях, своим бездействием препятствуют дальнейшему развитию общества, и парализуют его деятельность по тем направлениям, которые в соответствии с законом требуют принятия решений всеми акционерами, либо определенной частью голосов от всех акционеров, а не от присутствующих на собрании.</w:t>
            </w:r>
          </w:p>
          <w:p w:rsidR="00C201DA" w:rsidRPr="00DB15F3" w:rsidRDefault="00C201DA">
            <w:pPr>
              <w:rPr>
                <w:sz w:val="18"/>
                <w:szCs w:val="18"/>
              </w:rPr>
            </w:pPr>
            <w:r>
              <w:t xml:space="preserve">5) Согласно п.4 ст.62 ГК РФ акционер обязан участвовать в </w:t>
            </w:r>
            <w:r>
              <w:lastRenderedPageBreak/>
              <w:t>принятии корпоративных решений, без которых акционерное общество не может продолжать свою деятельность в соответствии с законом. В связи с этим, акции обязательно должны иметь определенного владельца, который будет осуществлять права по ним, в том числе участвовать в управлении Обществом - в принятии решений, отнесенных к компетенции собрания акционеров, что является невозможным при наличии в реестре вышеуказанных акционеров. На протяжении длительного времени решения принимались без учета мнения указанных лиц, в виду уклонения от исполнения указанной обязанности.</w:t>
            </w:r>
          </w:p>
        </w:tc>
        <w:tc>
          <w:tcPr>
            <w:tcW w:w="8222" w:type="dxa"/>
          </w:tcPr>
          <w:p w:rsidR="00C201DA" w:rsidRDefault="00C201DA">
            <w:r>
              <w:lastRenderedPageBreak/>
              <w:t xml:space="preserve">1)По общему правилу, ликвидация юридического лица влечет его прекращение без перехода в порядке универсального правопреемства его прав и обязанностей к другим лицам (п. 1 ст. 61 ГК РФ). В соответствии с п. 8 ст. 63 ГК </w:t>
            </w:r>
            <w:proofErr w:type="gramStart"/>
            <w:r>
              <w:t>РФ</w:t>
            </w:r>
            <w:proofErr w:type="gramEnd"/>
            <w:r>
              <w:t xml:space="preserve">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w:t>
            </w:r>
            <w:proofErr w:type="gramStart"/>
            <w:r>
              <w:t>Согласно п. 9 ст. 63 ГК РФ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 согласно ст. 419 ГК РФ, обязательство прекращается ликвидацией юридического лица (должника или кредитора), кроме случаев, когда законом или иными правовыми актами исполнение</w:t>
            </w:r>
            <w:proofErr w:type="gramEnd"/>
            <w:r>
              <w:t xml:space="preserve">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201DA" w:rsidRDefault="00C201DA">
            <w:proofErr w:type="spellStart"/>
            <w:r>
              <w:t>цо</w:t>
            </w:r>
            <w:proofErr w:type="spellEnd"/>
            <w:r>
              <w:t xml:space="preserve"> (по требованиям о возмещении вреда, причиненного жизни или здоровью, и др.). В силу ст. 128 ГК РФ к объектам гражданских прав относятся вещи, включая наличные деньги и документарные ценные бумаги, иное имущество, в том числе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201DA" w:rsidRDefault="00C201DA">
            <w:r>
              <w:t xml:space="preserve">Согласно п. 2 ст. 130 ГК РФ вещи, не относящиеся к недвижимости, включая деньги и ценные бумаги, признаются движимым имуществом. В соответствии со ст. 143 ГК РФ к ценным бумагам, в том числе, относится акция. В ст. 2 Федерального закона от 22.04.1996 №39-Ф3 «О рынке ценных бумаг» указано, что акция - эмиссионная </w:t>
            </w:r>
            <w:r>
              <w:lastRenderedPageBreak/>
              <w:t xml:space="preserve">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Бездокументарная форма эмиссионных ценных бумаг - форма эмиссионных ценных бумаг, при которой владелец устанавливается на основании записи в реестре владельцев ценных бумаг. Исходя из специфики бездокументарной акции, невозможно владеть ею как существующей в осязаемой форме вещью в виде физического обладания. </w:t>
            </w:r>
          </w:p>
          <w:p w:rsidR="00C201DA" w:rsidRDefault="00C201DA">
            <w:r>
              <w:t xml:space="preserve">Владельцами бездокументарных ценных бумаг согласно статьям 2, 28 Федерального закона от 22.04.1996 № 39-ФЗ «О рынке ценных бумаг» именуются лица, в отношении которых содержатся соответствующие записи на лицевых счетах у держателя реестра (Постановление Президиума ВАС РФ от 17.07.2012 № 1944/12). Согласно статьям 28, 29 Федерального закона от 22.04.1996 № 39-Ф3 «О рынке ценных бумаг» права владельцев на эмиссионные ценные бумаги бездокументарной формы выпуска удостоверяются в системе ведения реестра - записями на лицевых счетах у держателя реестра. Право на именную бездокументарную ценную бумагу переходит к приобретателю с момента внесения приходной записи по лицевому счету приобретателя. </w:t>
            </w:r>
          </w:p>
          <w:p w:rsidR="00C201DA" w:rsidRDefault="00C201DA"/>
          <w:p w:rsidR="00C201DA" w:rsidRPr="00DB15F3" w:rsidRDefault="00C201DA">
            <w:pPr>
              <w:rPr>
                <w:sz w:val="18"/>
                <w:szCs w:val="18"/>
              </w:rPr>
            </w:pPr>
            <w:r>
              <w:t>Единственно допустимым способом обеспечения права истца как эмитента является признание указанных акций бесхозяйными с передачей их во владение эмитенту для последующего перераспределения указанных акций в порядке, установленном ФЗ «Об акционерных обществах».</w:t>
            </w:r>
          </w:p>
        </w:tc>
      </w:tr>
      <w:tr w:rsidR="00744A93" w:rsidTr="00744A93">
        <w:trPr>
          <w:trHeight w:val="1410"/>
        </w:trPr>
        <w:tc>
          <w:tcPr>
            <w:tcW w:w="993" w:type="dxa"/>
          </w:tcPr>
          <w:p w:rsidR="00744A93" w:rsidRPr="00DB15F3" w:rsidRDefault="00744A93">
            <w:pPr>
              <w:rPr>
                <w:sz w:val="18"/>
                <w:szCs w:val="18"/>
              </w:rPr>
            </w:pPr>
            <w:r>
              <w:rPr>
                <w:sz w:val="18"/>
                <w:szCs w:val="18"/>
              </w:rPr>
              <w:lastRenderedPageBreak/>
              <w:t>Д</w:t>
            </w:r>
            <w:r w:rsidRPr="00DB15F3">
              <w:rPr>
                <w:sz w:val="18"/>
                <w:szCs w:val="18"/>
              </w:rPr>
              <w:t>ивиденды</w:t>
            </w:r>
          </w:p>
        </w:tc>
        <w:tc>
          <w:tcPr>
            <w:tcW w:w="6237" w:type="dxa"/>
          </w:tcPr>
          <w:p w:rsidR="00744A93" w:rsidRPr="00DB15F3" w:rsidRDefault="00744A93">
            <w:pPr>
              <w:rPr>
                <w:sz w:val="18"/>
                <w:szCs w:val="18"/>
              </w:rPr>
            </w:pPr>
            <w:r>
              <w:t>Акционеры на протяжении долгого времени не получают причитающиеся им дивиденды (подтверждается платежными поручениями и реестром оплаты возвращенных банковских переводов).</w:t>
            </w:r>
          </w:p>
        </w:tc>
        <w:tc>
          <w:tcPr>
            <w:tcW w:w="8222" w:type="dxa"/>
          </w:tcPr>
          <w:p w:rsidR="00744A93" w:rsidRPr="00DB15F3" w:rsidRDefault="00744A93">
            <w:pPr>
              <w:rPr>
                <w:sz w:val="18"/>
                <w:szCs w:val="18"/>
              </w:rPr>
            </w:pPr>
            <w:r>
              <w:t>Акционеры на протяжении долгого времени не получают причитающиеся им дивиденды (подтверждается платежными поручениями и реестром оплаты возвращенных банковских переводов).</w:t>
            </w:r>
          </w:p>
        </w:tc>
      </w:tr>
      <w:tr w:rsidR="00C201DA" w:rsidTr="00744A93">
        <w:trPr>
          <w:trHeight w:val="1685"/>
        </w:trPr>
        <w:tc>
          <w:tcPr>
            <w:tcW w:w="993" w:type="dxa"/>
          </w:tcPr>
          <w:p w:rsidR="00C201DA" w:rsidRPr="00DB15F3" w:rsidRDefault="00C201DA">
            <w:pPr>
              <w:rPr>
                <w:sz w:val="18"/>
                <w:szCs w:val="18"/>
              </w:rPr>
            </w:pPr>
            <w:r w:rsidRPr="00DB15F3">
              <w:rPr>
                <w:sz w:val="18"/>
                <w:szCs w:val="18"/>
              </w:rPr>
              <w:t>Проблема решений</w:t>
            </w:r>
          </w:p>
        </w:tc>
        <w:tc>
          <w:tcPr>
            <w:tcW w:w="6237" w:type="dxa"/>
          </w:tcPr>
          <w:p w:rsidR="00C201DA" w:rsidRDefault="00C201DA">
            <w:pPr>
              <w:rPr>
                <w:sz w:val="18"/>
                <w:szCs w:val="18"/>
              </w:rPr>
            </w:pPr>
            <w:r>
              <w:rPr>
                <w:sz w:val="18"/>
                <w:szCs w:val="18"/>
              </w:rPr>
              <w:t>1) Изменения в уставе, возможные только  в случае единогласного решения акционеров</w:t>
            </w:r>
          </w:p>
          <w:p w:rsidR="00C201DA" w:rsidRDefault="00C201DA" w:rsidP="00092D0F">
            <w:pPr>
              <w:autoSpaceDE w:val="0"/>
              <w:autoSpaceDN w:val="0"/>
              <w:adjustRightInd w:val="0"/>
              <w:jc w:val="both"/>
              <w:rPr>
                <w:rFonts w:ascii="Calibri" w:hAnsi="Calibri" w:cs="Calibri"/>
                <w:sz w:val="18"/>
                <w:szCs w:val="18"/>
              </w:rPr>
            </w:pPr>
            <w:r>
              <w:rPr>
                <w:sz w:val="18"/>
                <w:szCs w:val="18"/>
              </w:rPr>
              <w:t>2)</w:t>
            </w:r>
            <w:r>
              <w:rPr>
                <w:rFonts w:ascii="Calibri" w:hAnsi="Calibri" w:cs="Calibri"/>
                <w:sz w:val="18"/>
                <w:szCs w:val="18"/>
              </w:rPr>
              <w:t>Общество по единогласному решению всех акционеров вправе преобразоваться в некоммерческое партнерство.</w:t>
            </w:r>
          </w:p>
          <w:p w:rsidR="00C201DA" w:rsidRDefault="00C201DA" w:rsidP="00744A93">
            <w:pPr>
              <w:autoSpaceDE w:val="0"/>
              <w:autoSpaceDN w:val="0"/>
              <w:adjustRightInd w:val="0"/>
              <w:jc w:val="both"/>
              <w:rPr>
                <w:rFonts w:ascii="Calibri" w:hAnsi="Calibri" w:cs="Calibri"/>
                <w:sz w:val="18"/>
                <w:szCs w:val="18"/>
              </w:rPr>
            </w:pPr>
            <w:r>
              <w:rPr>
                <w:sz w:val="18"/>
                <w:szCs w:val="18"/>
              </w:rPr>
              <w:t>3)</w:t>
            </w:r>
            <w:r>
              <w:rPr>
                <w:rFonts w:ascii="Calibri" w:hAnsi="Calibri" w:cs="Calibri"/>
                <w:sz w:val="18"/>
                <w:szCs w:val="18"/>
              </w:rPr>
              <w:t xml:space="preserve"> Если уставом непубличного общества предусмотрена возможность возложения обязанности по внесению вкладов на всех акционеров непубличного общества, решение общего собрания акционеров о возложении на акционеров непубличного общества обязанности по </w:t>
            </w:r>
            <w:r>
              <w:rPr>
                <w:rFonts w:ascii="Calibri" w:hAnsi="Calibri" w:cs="Calibri"/>
                <w:sz w:val="18"/>
                <w:szCs w:val="18"/>
              </w:rPr>
              <w:lastRenderedPageBreak/>
              <w:t>внесению вкладов в имущество непубличного общества принимается единогласно всеми акционерами общества.</w:t>
            </w:r>
          </w:p>
          <w:p w:rsidR="00C201DA" w:rsidRDefault="00C201DA" w:rsidP="00744A93">
            <w:pPr>
              <w:autoSpaceDE w:val="0"/>
              <w:autoSpaceDN w:val="0"/>
              <w:adjustRightInd w:val="0"/>
              <w:jc w:val="both"/>
              <w:rPr>
                <w:rFonts w:ascii="Calibri" w:hAnsi="Calibri" w:cs="Calibri"/>
                <w:sz w:val="18"/>
                <w:szCs w:val="18"/>
              </w:rPr>
            </w:pPr>
            <w:r>
              <w:rPr>
                <w:sz w:val="18"/>
                <w:szCs w:val="18"/>
              </w:rPr>
              <w:t xml:space="preserve">4) </w:t>
            </w:r>
            <w:r>
              <w:rPr>
                <w:rFonts w:ascii="Calibri" w:hAnsi="Calibri" w:cs="Calibri"/>
                <w:sz w:val="18"/>
                <w:szCs w:val="18"/>
              </w:rPr>
              <w:t xml:space="preserve">Уставом непубличного общества может быть предусмотрено, что по решению общего собрания акционеров допускается возложение обязанности по внесению вкладов в имущество непубличного общества только на акционеров - владельцев акций определенной категории (типа). </w:t>
            </w:r>
            <w:proofErr w:type="gramStart"/>
            <w:r>
              <w:rPr>
                <w:rFonts w:ascii="Calibri" w:hAnsi="Calibri" w:cs="Calibri"/>
                <w:sz w:val="18"/>
                <w:szCs w:val="18"/>
              </w:rPr>
              <w:t>В этом случае решение общего собрания акционеров о возложении на акционеров обязанности по внесению вкладов в имущество непубличного общества принимается большинством в три четверти голосов акционеров, принимающих участие в общем собрании акционеров, при условии, что за такое решение единогласно проголосовали все акционеры - владельцы акций каждой категории (типа), на которых возлагается обязанность по внесению вклада в имущество непубличного общества.</w:t>
            </w:r>
            <w:proofErr w:type="gramEnd"/>
          </w:p>
          <w:p w:rsidR="00C201DA" w:rsidRPr="00744A93" w:rsidRDefault="00C201DA" w:rsidP="00744A93">
            <w:pPr>
              <w:autoSpaceDE w:val="0"/>
              <w:autoSpaceDN w:val="0"/>
              <w:adjustRightInd w:val="0"/>
              <w:jc w:val="both"/>
              <w:rPr>
                <w:rFonts w:ascii="Calibri" w:hAnsi="Calibri" w:cs="Calibri"/>
                <w:sz w:val="18"/>
                <w:szCs w:val="18"/>
              </w:rPr>
            </w:pPr>
            <w:r>
              <w:rPr>
                <w:sz w:val="18"/>
                <w:szCs w:val="18"/>
              </w:rPr>
              <w:t xml:space="preserve">5) </w:t>
            </w:r>
            <w:r>
              <w:rPr>
                <w:rFonts w:ascii="Calibri" w:hAnsi="Calibri" w:cs="Calibri"/>
                <w:sz w:val="18"/>
                <w:szCs w:val="18"/>
              </w:rPr>
              <w:t xml:space="preserve">Размещение посредством закрытой подписки привилегированных акций, предусмотренных </w:t>
            </w:r>
            <w:r w:rsidRPr="00744A93">
              <w:rPr>
                <w:rFonts w:ascii="Calibri" w:hAnsi="Calibri" w:cs="Calibri"/>
                <w:sz w:val="18"/>
                <w:szCs w:val="18"/>
              </w:rPr>
              <w:t>пунктом 6 статьи 32 Федерального закона</w:t>
            </w:r>
            <w:r w:rsidR="00744A93" w:rsidRPr="00744A93">
              <w:rPr>
                <w:rFonts w:ascii="Calibri" w:hAnsi="Calibri" w:cs="Calibri"/>
                <w:sz w:val="18"/>
                <w:szCs w:val="18"/>
              </w:rPr>
              <w:t xml:space="preserve"> №208</w:t>
            </w:r>
            <w:r w:rsidRPr="00744A93">
              <w:rPr>
                <w:rFonts w:ascii="Calibri" w:hAnsi="Calibri" w:cs="Calibri"/>
                <w:sz w:val="18"/>
                <w:szCs w:val="18"/>
              </w:rPr>
              <w:t>,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акционерами общества.</w:t>
            </w:r>
          </w:p>
          <w:p w:rsidR="00C201DA" w:rsidRPr="00744A93" w:rsidRDefault="00C201DA" w:rsidP="00092D0F">
            <w:pPr>
              <w:autoSpaceDE w:val="0"/>
              <w:autoSpaceDN w:val="0"/>
              <w:adjustRightInd w:val="0"/>
              <w:jc w:val="both"/>
              <w:rPr>
                <w:rFonts w:ascii="Calibri" w:hAnsi="Calibri" w:cs="Calibri"/>
                <w:sz w:val="18"/>
                <w:szCs w:val="18"/>
              </w:rPr>
            </w:pPr>
            <w:r w:rsidRPr="00744A93">
              <w:rPr>
                <w:sz w:val="18"/>
                <w:szCs w:val="18"/>
              </w:rPr>
              <w:t xml:space="preserve">6) </w:t>
            </w:r>
            <w:r w:rsidRPr="00744A93">
              <w:rPr>
                <w:rFonts w:ascii="Calibri" w:hAnsi="Calibri" w:cs="Calibri"/>
                <w:sz w:val="18"/>
                <w:szCs w:val="18"/>
              </w:rPr>
              <w:t xml:space="preserve">В случае, если количество директоров, не заинтересованных в совершении сделки, а в публичном обществе количество директоров, не заинтересованных в совершении сделки и отвечающих требованиям, установленным пунктом 3 статьи 83 настоящего Федерального закона, составляет менее определенного уставом кворума для проведения заседания совета директоров (наблюдательного совета) общества, цена (денежная </w:t>
            </w:r>
            <w:proofErr w:type="gramStart"/>
            <w:r w:rsidRPr="00744A93">
              <w:rPr>
                <w:rFonts w:ascii="Calibri" w:hAnsi="Calibri" w:cs="Calibri"/>
                <w:sz w:val="18"/>
                <w:szCs w:val="18"/>
              </w:rPr>
              <w:t xml:space="preserve">оценка) </w:t>
            </w:r>
            <w:proofErr w:type="gramEnd"/>
            <w:r w:rsidRPr="00744A93">
              <w:rPr>
                <w:rFonts w:ascii="Calibri" w:hAnsi="Calibri" w:cs="Calibri"/>
                <w:sz w:val="18"/>
                <w:szCs w:val="18"/>
              </w:rPr>
              <w:t xml:space="preserve">имущества определяется решением совета директоров (наблюдательного совета)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 если уставом общества не предусмотрено, что цена (денежная </w:t>
            </w:r>
            <w:proofErr w:type="gramStart"/>
            <w:r w:rsidRPr="00744A93">
              <w:rPr>
                <w:rFonts w:ascii="Calibri" w:hAnsi="Calibri" w:cs="Calibri"/>
                <w:sz w:val="18"/>
                <w:szCs w:val="18"/>
              </w:rPr>
              <w:t xml:space="preserve">оценка) </w:t>
            </w:r>
            <w:proofErr w:type="gramEnd"/>
            <w:r w:rsidRPr="00744A93">
              <w:rPr>
                <w:rFonts w:ascii="Calibri" w:hAnsi="Calibri" w:cs="Calibri"/>
                <w:sz w:val="18"/>
                <w:szCs w:val="18"/>
              </w:rPr>
              <w:t xml:space="preserve">имущества подлежит определению решением общего собрания акционеров, принятым в порядке, предусмотренном </w:t>
            </w:r>
            <w:hyperlink r:id="rId5" w:history="1">
              <w:r w:rsidRPr="00744A93">
                <w:rPr>
                  <w:rFonts w:ascii="Calibri" w:hAnsi="Calibri" w:cs="Calibri"/>
                  <w:sz w:val="18"/>
                  <w:szCs w:val="18"/>
                </w:rPr>
                <w:t>пунктом 4 статьи 83</w:t>
              </w:r>
            </w:hyperlink>
            <w:r w:rsidRPr="00744A93">
              <w:rPr>
                <w:rFonts w:ascii="Calibri" w:hAnsi="Calibri" w:cs="Calibri"/>
                <w:sz w:val="18"/>
                <w:szCs w:val="18"/>
              </w:rPr>
              <w:t xml:space="preserve"> настоящего Федерального закона</w:t>
            </w:r>
          </w:p>
          <w:p w:rsidR="00C201DA" w:rsidRDefault="00C201DA" w:rsidP="003D1689">
            <w:pPr>
              <w:autoSpaceDE w:val="0"/>
              <w:autoSpaceDN w:val="0"/>
              <w:adjustRightInd w:val="0"/>
              <w:jc w:val="both"/>
              <w:rPr>
                <w:rFonts w:ascii="Calibri" w:hAnsi="Calibri" w:cs="Calibri"/>
                <w:sz w:val="18"/>
                <w:szCs w:val="18"/>
              </w:rPr>
            </w:pPr>
            <w:proofErr w:type="gramStart"/>
            <w:r>
              <w:rPr>
                <w:sz w:val="18"/>
                <w:szCs w:val="18"/>
              </w:rPr>
              <w:t>7)</w:t>
            </w:r>
            <w:r>
              <w:rPr>
                <w:rFonts w:ascii="Calibri" w:hAnsi="Calibri" w:cs="Calibri"/>
                <w:sz w:val="18"/>
                <w:szCs w:val="18"/>
              </w:rPr>
              <w:t xml:space="preserve"> Положения устава непубличного общества об отсутствии ревизионной комиссии или о ее создании исключительно в случаях, предусмотренных уставом такого общества, могут быть предусмотрены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этого общества.</w:t>
            </w:r>
            <w:proofErr w:type="gramEnd"/>
          </w:p>
          <w:p w:rsidR="00C201DA" w:rsidRPr="00DB15F3" w:rsidRDefault="00C201DA">
            <w:pPr>
              <w:rPr>
                <w:sz w:val="18"/>
                <w:szCs w:val="18"/>
              </w:rPr>
            </w:pPr>
          </w:p>
        </w:tc>
        <w:tc>
          <w:tcPr>
            <w:tcW w:w="8222" w:type="dxa"/>
          </w:tcPr>
          <w:p w:rsidR="00C201DA" w:rsidRPr="00DB15F3" w:rsidRDefault="00C201DA">
            <w:pPr>
              <w:rPr>
                <w:sz w:val="18"/>
                <w:szCs w:val="18"/>
              </w:rPr>
            </w:pPr>
          </w:p>
        </w:tc>
      </w:tr>
    </w:tbl>
    <w:p w:rsidR="00AD48DA" w:rsidRPr="00DB354A" w:rsidRDefault="00DB354A" w:rsidP="00DB354A">
      <w:pPr>
        <w:spacing w:before="240" w:after="0"/>
      </w:pPr>
      <w:r w:rsidRPr="00DB354A">
        <w:lastRenderedPageBreak/>
        <w:t>* Информация указана по состоянию на 07 февраля 2024 года</w:t>
      </w:r>
    </w:p>
    <w:sectPr w:rsidR="00AD48DA" w:rsidRPr="00DB354A" w:rsidSect="00DB354A">
      <w:pgSz w:w="16838" w:h="11906" w:orient="landscape"/>
      <w:pgMar w:top="170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1E94"/>
    <w:rsid w:val="000242CA"/>
    <w:rsid w:val="000629D0"/>
    <w:rsid w:val="00092D0F"/>
    <w:rsid w:val="0027704D"/>
    <w:rsid w:val="003D1689"/>
    <w:rsid w:val="00437D3D"/>
    <w:rsid w:val="00461E94"/>
    <w:rsid w:val="00744A93"/>
    <w:rsid w:val="00756872"/>
    <w:rsid w:val="00807918"/>
    <w:rsid w:val="0093536A"/>
    <w:rsid w:val="009B2E1B"/>
    <w:rsid w:val="00A05A45"/>
    <w:rsid w:val="00AB03D9"/>
    <w:rsid w:val="00B85119"/>
    <w:rsid w:val="00C201DA"/>
    <w:rsid w:val="00D36FC8"/>
    <w:rsid w:val="00D5069C"/>
    <w:rsid w:val="00DB15F3"/>
    <w:rsid w:val="00DB354A"/>
    <w:rsid w:val="00DE34F7"/>
    <w:rsid w:val="00EB630B"/>
    <w:rsid w:val="00FB4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1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EB63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ogin.consultant.ru/link/?req=doc&amp;base=LAW&amp;n=465642&amp;dst=6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5B557-50B4-4330-BCBE-2EA285C8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den_am</dc:creator>
  <cp:lastModifiedBy>bak_ao</cp:lastModifiedBy>
  <cp:revision>5</cp:revision>
  <cp:lastPrinted>2024-02-05T13:11:00Z</cp:lastPrinted>
  <dcterms:created xsi:type="dcterms:W3CDTF">2024-02-05T12:40:00Z</dcterms:created>
  <dcterms:modified xsi:type="dcterms:W3CDTF">2024-02-07T08:25:00Z</dcterms:modified>
</cp:coreProperties>
</file>